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VOIP Service Terms</w:t>
      </w:r>
    </w:p>
    <w:p>
      <w:pPr>
        <w:pStyle w:val="Subtitle"/>
      </w:pPr>
      <w:r>
        <w:t xml:space="preserve">MaysWeb — maysweb.cloud</w:t>
      </w:r>
    </w:p>
    <w:p>
      <w:r>
        <w:t xml:space="preserve">Effective date: 9 June 2026</w:t>
      </w:r>
    </w:p>
    <w:p>
      <w:r>
        <w:t xml:space="preserve">Provider: MaysWeb</w:t>
      </w:r>
    </w:p>
    <w:p>
      <w:r>
        <w:t xml:space="preserve">Contact: info@maysweb.cloud | +44 (0)2039 308 143</w:t>
      </w:r>
    </w:p>
    <w:p>
      <w:pPr>
        <w:pStyle w:val="Heading1"/>
      </w:pPr>
      <w:r>
        <w:t xml:space="preserve">1. Service scope</w:t>
      </w:r>
    </w:p>
    <w:p>
      <w:r>
        <w:t xml:space="preserve">We provide business VOIP telephony services including numbering, extensions, routing, voicemail, and related features as configured in your service order.</w:t>
      </w:r>
    </w:p>
    <w:p>
      <w:r>
        <w:t xml:space="preserve">Services are supplied for lawful business communications within the UK and destinations agreed in your plan.</w:t>
      </w:r>
    </w:p>
    <w:p>
      <w:pPr>
        <w:pStyle w:val="Heading1"/>
      </w:pPr>
      <w:r>
        <w:t xml:space="preserve">2. Emergency calls and location</w:t>
      </w:r>
    </w:p>
    <w:p>
      <w:r>
        <w:t xml:space="preserve">You must provide and keep accurate registered address information for emergency call routing. You are responsible for informing users of any limitations compared with traditional fixed-line emergency services.</w:t>
      </w:r>
    </w:p>
    <w:p>
      <w:r>
        <w:t xml:space="preserve">Failure to maintain accurate location data may delay emergency response.</w:t>
      </w:r>
    </w:p>
    <w:p>
      <w:pPr>
        <w:pStyle w:val="Heading1"/>
      </w:pPr>
      <w:r>
        <w:t xml:space="preserve">3. Acceptable use</w:t>
      </w:r>
    </w:p>
    <w:p>
      <w:r>
        <w:t xml:space="preserve">• No fraud, harassment, unlawful robocalling, or misrepresented caller ID.</w:t>
      </w:r>
    </w:p>
    <w:p>
      <w:r>
        <w:t xml:space="preserve">• No premium-rate abuse, trunk pumping, or unauthorised reselling without written consent.</w:t>
      </w:r>
    </w:p>
    <w:p>
      <w:r>
        <w:t xml:space="preserve">• No excessive auto-dialling or telemarketing that breaches PECR, TPS/CTPS rules, or Ofcom guidance.</w:t>
      </w:r>
    </w:p>
    <w:p>
      <w:r>
        <w:t xml:space="preserve">• No activity that degrades carrier reputation or causes listing on industry blocklists.</w:t>
      </w:r>
    </w:p>
    <w:p>
      <w:pPr>
        <w:pStyle w:val="Heading1"/>
      </w:pPr>
      <w:r>
        <w:t xml:space="preserve">4. Number porting and ownership</w:t>
      </w:r>
    </w:p>
    <w:p>
      <w:r>
        <w:t xml:space="preserve">Number porting is subject to carrier workflows and verification. You authorise us to act as your agent for port requests submitted with valid documentation.</w:t>
      </w:r>
    </w:p>
    <w:p>
      <w:pPr>
        <w:pStyle w:val="Heading1"/>
      </w:pPr>
      <w:r>
        <w:t xml:space="preserve">5. Quality and availability</w:t>
      </w:r>
    </w:p>
    <w:p>
      <w:r>
        <w:t xml:space="preserve">Call quality depends on your internet connection, local network configuration, and third-party carriers. We are not responsible for broadband outages outside our control.</w:t>
      </w:r>
    </w:p>
    <w:p>
      <w:pPr>
        <w:pStyle w:val="Heading1"/>
      </w:pPr>
      <w:r>
        <w:t xml:space="preserve">6. Suspension</w:t>
      </w:r>
    </w:p>
    <w:p>
      <w:r>
        <w:t xml:space="preserve">We may suspend or terminate services immediately for abuse, non-payment, regulatory direction, or material breach. You remain liable for charges incurred prior to suspension.</w:t>
      </w:r>
    </w:p>
    <w:p>
      <w:pPr>
        <w:pStyle w:val="Heading1"/>
      </w:pPr>
      <w:r>
        <w:t xml:space="preserve">7. Liability</w:t>
      </w:r>
    </w:p>
    <w:p>
      <w:r>
        <w:t xml:space="preserve">Our liability is limited to fees paid for VOIP services in the twelve months preceding a claim, except where limited by law.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  <w:style w:type="paragraph" w:styleId="Subtitle">
    <w:name w:val="Subtitle"/>
    <w:rPr>
      <w:sz w:val="24"/>
      <w:color w:val="666666"/>
    </w:rPr>
  </w:style>
  <w:style w:type="paragraph" w:styleId="Heading1">
    <w:name w:val="heading 1"/>
    <w:rPr>
      <w:b/>
      <w:sz w:val="30"/>
    </w:rPr>
  </w:style>
  <w:style w:type="paragraph" w:styleId="Normal">
    <w:name w:val="Normal"/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VOIP Service Terms</dc:title>
  <dc:creator>MaysWeb</dc:creator>
  <cp:lastModifiedBy>MaysWeb</cp:lastModifiedBy>
  <dcterms:created xsi:type="dcterms:W3CDTF">2026-06-09T17:06:44Z</dcterms:created>
  <dcterms:modified xsi:type="dcterms:W3CDTF">2026-06-09T17:06:44Z</dcterms:modified>
</cp:coreProperties>
</file>